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1"/>
          <w:tab w:val="left" w:pos="1276"/>
        </w:tabs>
        <w:rPr>
          <w:rFonts w:ascii="仿宋_GB2312" w:hAnsi="华文仿宋" w:eastAsia="仿宋_GB2312"/>
          <w:b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tabs>
          <w:tab w:val="left" w:pos="851"/>
          <w:tab w:val="left" w:pos="1843"/>
          <w:tab w:val="left" w:pos="3828"/>
        </w:tabs>
        <w:jc w:val="center"/>
        <w:rPr>
          <w:rFonts w:hint="eastAsia" w:ascii="方正小标宋简体" w:hAnsi="黑体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华文仿宋" w:hAnsi="华文仿宋" w:eastAsia="华文仿宋" w:cs="华文仿宋"/>
          <w:b/>
          <w:bCs/>
          <w:sz w:val="44"/>
          <w:szCs w:val="44"/>
        </w:rPr>
        <w:t>襄阳示范区科教融合中心基本情况</w:t>
      </w:r>
    </w:p>
    <w:bookmarkEnd w:id="0"/>
    <w:tbl>
      <w:tblPr>
        <w:tblStyle w:val="2"/>
        <w:tblW w:w="8867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406"/>
        <w:gridCol w:w="4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960"/>
                <w:tab w:val="left" w:pos="4140"/>
              </w:tabs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960"/>
                <w:tab w:val="left" w:pos="4140"/>
              </w:tabs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中心名称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960"/>
                <w:tab w:val="left" w:pos="4140"/>
              </w:tabs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聚焦领域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1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新材料</w:t>
            </w:r>
          </w:p>
          <w:p>
            <w:pPr>
              <w:spacing w:line="38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科教融合中心</w:t>
            </w:r>
          </w:p>
        </w:tc>
        <w:tc>
          <w:tcPr>
            <w:tcW w:w="4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无机非金属功能材料、功能与智能材料、高分子与复合材料、车用结构新材料及成形制造、医用与化工材料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2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新能源与智能网联汽车</w:t>
            </w:r>
          </w:p>
          <w:p>
            <w:pPr>
              <w:spacing w:line="38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科教融合中心</w:t>
            </w:r>
          </w:p>
        </w:tc>
        <w:tc>
          <w:tcPr>
            <w:tcW w:w="4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汽车轻量化、汽车零部件、新能源汽车、智能网联汽车、汽车测试与分析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3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先进制造</w:t>
            </w:r>
          </w:p>
          <w:p>
            <w:pPr>
              <w:spacing w:line="38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科教融合中心</w:t>
            </w:r>
          </w:p>
        </w:tc>
        <w:tc>
          <w:tcPr>
            <w:tcW w:w="4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高端制造、智能感知、智能物流装备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4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先进信息技术与网络通信</w:t>
            </w:r>
          </w:p>
          <w:p>
            <w:pPr>
              <w:spacing w:line="38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科教融合中心</w:t>
            </w:r>
          </w:p>
        </w:tc>
        <w:tc>
          <w:tcPr>
            <w:tcW w:w="4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先进传感技术、现代通信技术、未来网络、智能信息处理、微电子技术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5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大数据与人工智能</w:t>
            </w:r>
          </w:p>
          <w:p>
            <w:pPr>
              <w:spacing w:line="38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科教融合中心</w:t>
            </w:r>
          </w:p>
        </w:tc>
        <w:tc>
          <w:tcPr>
            <w:tcW w:w="4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人工智能及应用、大数据及应用、云计算及应用、绿色计算及应用、物联网及应用、网络空间安全、智能无人系统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6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智能交通</w:t>
            </w:r>
          </w:p>
          <w:p>
            <w:pPr>
              <w:spacing w:line="38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科教融合中心</w:t>
            </w:r>
          </w:p>
        </w:tc>
        <w:tc>
          <w:tcPr>
            <w:tcW w:w="4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自主交通系统、交通基础设施建养、综合交通与智慧物流、新型能源动力系统、智慧交通出行、交通智能导航与服务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7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智慧生态城市与绿色资源</w:t>
            </w:r>
          </w:p>
          <w:p>
            <w:pPr>
              <w:spacing w:line="38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科教融合中心</w:t>
            </w:r>
          </w:p>
        </w:tc>
        <w:tc>
          <w:tcPr>
            <w:tcW w:w="4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城市空间信息化治理、古建遗产数字化保护、海绵城市建设、城市污水污泥生态化处置、清洁资源循环利用与污染协同控制、绿色建筑环境营造与能源管理、城市基础设施智能感知与全周期安全运维、新建建筑和市政设施工业化建造与信息化管理、拥有土木水利、建筑学等2个专业硕士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8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现代管理与金融</w:t>
            </w:r>
          </w:p>
          <w:p>
            <w:pPr>
              <w:spacing w:line="38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科教融合中心</w:t>
            </w:r>
          </w:p>
        </w:tc>
        <w:tc>
          <w:tcPr>
            <w:tcW w:w="4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等线" w:eastAsia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</w:rPr>
              <w:t>企业绩效管理与内部控制、大数据商务运营与营销、数据科学与智能决策、产业区域发展规划、金融创新与金融服务、数字经济与商务大数据、安全生产与应急管理、安全生产与风险防控大数据平台建设、新能源热安全检测分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OWJkMGVlZDIyMDFmNWNkNzEyN2NkM2M1NjMxOWUifQ=="/>
  </w:docVars>
  <w:rsids>
    <w:rsidRoot w:val="7C9353C0"/>
    <w:rsid w:val="7C93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2023-08-17T10:22:00Z</dcterms:created>
  <dc:creator>TIAN.</dc:creator>
  <cp:lastModifiedBy>TIAN.</cp:lastModifiedBy>
  <dcterms:modified xsi:type="dcterms:W3CDTF">2023-08-17T10:22:48Z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B7DD9490BB094FC3B8A3CA5EDCFCA430_11</vt:lpwstr>
  </property>
</Properties>
</file>